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</w:rPr>
        <w:t>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一、新课导入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文通过介绍王叔远雕刻核舟的高超艺术，反映了中国古代雕刻艺术的伟大成就。文章篇幅虽短，却内容丰富，就连雕刻家的艺术构思都介绍得淋漓尽致，确实令人惊叹。这靠的是什么？一是细致的观察，深入的思考；二是具体的描绘和生动的说明。这值得我们学习借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二、自学指导（一）——预习和交流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1．概括全文，总括王叔远技艺高超的词是：</w:t>
      </w:r>
      <w:r>
        <w:rPr>
          <w:rFonts w:hint="eastAsia"/>
          <w:u w:val="single"/>
          <w:lang w:val="en-US" w:eastAsia="zh-CN"/>
        </w:rPr>
        <w:t>奇巧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2．找出表现核舟主题的句子：</w:t>
      </w:r>
      <w:r>
        <w:rPr>
          <w:rFonts w:hint="eastAsia"/>
          <w:u w:val="single"/>
          <w:lang w:val="en-US" w:eastAsia="zh-CN"/>
        </w:rPr>
        <w:t>盖大苏泛赤壁云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3．找出写原料小而表现题材广的句子：</w:t>
      </w:r>
      <w:r>
        <w:rPr>
          <w:rFonts w:hint="eastAsia"/>
          <w:u w:val="single"/>
          <w:lang w:val="en-US" w:eastAsia="zh-CN"/>
        </w:rPr>
        <w:t>能以径寸之木，为宫室、器皿、人物，以至鸟兽、木石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4．说明构思巧妙、雕刻技艺精湛的句子：</w:t>
      </w:r>
      <w:r>
        <w:rPr>
          <w:rFonts w:hint="eastAsia"/>
          <w:u w:val="single"/>
          <w:lang w:val="en-US" w:eastAsia="zh-CN"/>
        </w:rPr>
        <w:t>罔不因势象形，各具情态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三、自学指导（二）——合作与探究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（一）整体感知。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1．这是一篇说明文</w:t>
      </w:r>
      <w:bookmarkStart w:id="0" w:name="_GoBack"/>
      <w:bookmarkEnd w:id="0"/>
      <w:r>
        <w:rPr>
          <w:rFonts w:hint="eastAsia"/>
          <w:lang w:val="en-US" w:eastAsia="zh-CN"/>
        </w:rPr>
        <w:t>，它的说明对象是什么？说明对象有何特征？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明确：（对象）核舟。（特征）奇巧（体积小，构思巧，雕刻的人物、文字数量多）。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2．本文的说明顺序是什么？请具体说一说。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(1)空间顺序：中一头一尾一背。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(2)逻辑顺序：先整体后局部——先写舟的尺寸大小，后写船舱、船头、船尾、船背。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先主后次——正是主，背面是次，所以先写正面，后写背面；船舱是主，船头、船尾、船背是次；船头是主，船尾是次；苏东坡是主．黄鲁直、佛印是次。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3．本文运用了哪些说明方法？试分析其作用。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明确：列数字：“八分有奇，高可二黍许。”“通计一舟……共三十有四。”核舟长多少，高多少，船舱部分雕刻了多少东西，都各有其数，读来一目了然。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作比较：“通计一舟……计其长曾不盈寸。”核舟容量大、所刻景物甚多与“计其长曾不盈寸”对比，使人们更强烈地感受到这个精美绝伦的艺术品有巧夺天工之妙，以此突出雕刻精湛的技艺。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（二）文本探究。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4．课文如此细致地介绍核舟这一雕刻品的艺术形象，说明了什么？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明确：说明了雕刻家构思的巧妙与雕刻技艺的高超，显示出古代工艺美术的卓越成就，赞美了我国古代劳动者的智慧。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5．本文题目中有“记”字，是否意味着是记叙文？它与《桃花源记》是不是同一种文体？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明确：这是一篇介绍事物的说明文。题目中的“记”在这里是描述的意思。文章全面而真实地描述了雕刻在核舟上活灵活现的人和物，使人领会到雕刻者神奇的雕刻技巧。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从对象看，《桃花源记》记的是事，是记叙文；而《核舟记》记的是工艺品，是说明文。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从语言看，《桃花源记》多用描写性文字，而《核舟记》则多用说明性文字。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四、拓展延伸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苏轼《赤壁赋》《后赤壁赋》的相关段落：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 《赤壁赋》：</w:t>
      </w:r>
      <w:r>
        <w:rPr>
          <w:rFonts w:hint="eastAsia" w:ascii="仿宋" w:hAnsi="仿宋" w:eastAsia="仿宋" w:cs="仿宋"/>
          <w:lang w:val="en-US" w:eastAsia="zh-CN"/>
        </w:rPr>
        <w:t>壬戌之秋，七月既望，苏子与客泛舟游于赤壁之下。清风徐来，水波不兴。举酒属客，诵明月之诗，歌窈窕之章。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 《后赤壁赋》：</w:t>
      </w:r>
      <w:r>
        <w:rPr>
          <w:rFonts w:hint="eastAsia" w:ascii="仿宋" w:hAnsi="仿宋" w:eastAsia="仿宋" w:cs="仿宋"/>
          <w:lang w:val="en-US" w:eastAsia="zh-CN"/>
        </w:rPr>
        <w:t>于是携酒与鱼，复游于赤壁之下。江流有声，断岸千尺，山高月小，水落石出。曾日月之几何，而江山不可复识矣！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五、达标检测   </w:t>
      </w:r>
    </w:p>
    <w:p>
      <w:p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阅读下文，同答问题。</w:t>
      </w:r>
    </w:p>
    <w:p>
      <w:pPr>
        <w:ind w:left="0" w:leftChars="0"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>【甲】</w:t>
      </w:r>
      <w:r>
        <w:rPr>
          <w:rFonts w:hint="eastAsia" w:ascii="仿宋" w:hAnsi="仿宋" w:eastAsia="仿宋" w:cs="仿宋"/>
          <w:lang w:val="en-US" w:eastAsia="zh-CN"/>
        </w:rPr>
        <w:t>明有奇巧人曰王叔远，能以径寸之木，为宫室、器皿、人物，以至鸟兽、木石，罔不因势象形，各具情态。尝贻余核舟一，盖大苏泛赤壁云。</w:t>
      </w:r>
    </w:p>
    <w:p>
      <w:pPr>
        <w:ind w:left="0" w:leftChars="0"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舟首尾长约八分有奇，高可二黍许。中轩敞者为舱，箬篷覆之。旁开小窗，左右各四，共八扇。启窗而观，雕栏相望焉。闭之，则右刻“山高月小，水落石出”，左刻“清风徐来，水波不兴”，石青糁之。</w:t>
      </w:r>
    </w:p>
    <w:p>
      <w:pPr>
        <w:ind w:left="0" w:leftChars="0" w:firstLine="42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……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舟尾横卧一楫。楫左右舟子各一人。居右者椎髻仰面，左手倚一衡木，右手攀右趾，若啸呼状。居左者右手/执蒲葵扇，左手抚炉，炉上有壶，其人视端容寂，若听茶声然。</w:t>
      </w:r>
    </w:p>
    <w:p>
      <w:pPr>
        <w:ind w:left="0" w:leftChars="0" w:firstLine="0" w:firstLineChars="0"/>
        <w:jc w:val="righ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（选自《核舟记》）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 【乙】</w:t>
      </w:r>
      <w:r>
        <w:rPr>
          <w:rFonts w:hint="eastAsia" w:ascii="仿宋" w:hAnsi="仿宋" w:eastAsia="仿宋" w:cs="仿宋"/>
          <w:lang w:val="en-US" w:eastAsia="zh-CN"/>
        </w:rPr>
        <w:t>谢太傅云：“顾长康①画，有苍生来所无。”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顾长康画裴叔则，颊上益三毛。人问其故，顾曰：“裴楷②俊朗有识具③，正此是其识具。”看画者寻之，定觉益三毛如有神明，殊胜未安时。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顾长康画谢幼舆在岩石里。人问其所以，顾曰：“谢云：‘一丘一壑，自谓过之。’此子宜置丘壑中。”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顾长康面人，或数年不点目精④。人问其故，顾日：“四体妍蚩⑤，本无关于妙处；传神写照，正在阿堵⑥中。”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顾长康道：“画‘手挥五弦’易，‘目送归鸿’难。”</w:t>
      </w:r>
    </w:p>
    <w:p>
      <w:pPr>
        <w:ind w:left="0" w:leftChars="0" w:firstLine="0" w:firstLineChars="0"/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（选自《世说新语·巧艺》，有删改）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【注】①顾长康：东晋画家顾恺之，字长康。②裴楷：字叔则，曹魏及西晋时期的大臣、名士。③识具：见地，才略。④目精：眼珠。⑤妍蚩：也作“妍媸”，美和丑。⑥阿堵：这个，此处指眼珠。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1．解释下列句中加点的词。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(1)能</w:t>
      </w:r>
      <w:r>
        <w:rPr>
          <w:rFonts w:hint="eastAsia"/>
          <w:em w:val="dot"/>
          <w:lang w:val="en-US" w:eastAsia="zh-CN"/>
        </w:rPr>
        <w:t>以</w:t>
      </w:r>
      <w:r>
        <w:rPr>
          <w:rFonts w:hint="eastAsia"/>
          <w:lang w:val="en-US" w:eastAsia="zh-CN"/>
        </w:rPr>
        <w:t>径寸之木    以：</w:t>
      </w:r>
      <w:r>
        <w:rPr>
          <w:rFonts w:hint="eastAsia"/>
          <w:u w:val="single"/>
          <w:lang w:val="en-US" w:eastAsia="zh-CN"/>
        </w:rPr>
        <w:t>用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(2)清风</w:t>
      </w:r>
      <w:r>
        <w:rPr>
          <w:rFonts w:hint="eastAsia"/>
          <w:em w:val="dot"/>
          <w:lang w:val="en-US" w:eastAsia="zh-CN"/>
        </w:rPr>
        <w:t>徐</w:t>
      </w:r>
      <w:r>
        <w:rPr>
          <w:rFonts w:hint="eastAsia"/>
          <w:lang w:val="en-US" w:eastAsia="zh-CN"/>
        </w:rPr>
        <w:t>来        徐：</w:t>
      </w:r>
      <w:r>
        <w:rPr>
          <w:rFonts w:hint="eastAsia"/>
          <w:u w:val="single"/>
          <w:lang w:val="en-US" w:eastAsia="zh-CN"/>
        </w:rPr>
        <w:t>慢慢地</w:t>
      </w:r>
    </w:p>
    <w:p>
      <w:pPr>
        <w:ind w:left="0" w:leftChars="0" w:firstLine="0" w:firstLineChars="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(3)</w:t>
      </w:r>
      <w:r>
        <w:rPr>
          <w:rFonts w:hint="eastAsia"/>
          <w:em w:val="dot"/>
          <w:lang w:val="en-US" w:eastAsia="zh-CN"/>
        </w:rPr>
        <w:t>或</w:t>
      </w:r>
      <w:r>
        <w:rPr>
          <w:rFonts w:hint="eastAsia"/>
          <w:lang w:val="en-US" w:eastAsia="zh-CN"/>
        </w:rPr>
        <w:t>数年不点目精  或：</w:t>
      </w:r>
      <w:r>
        <w:rPr>
          <w:rFonts w:hint="eastAsia"/>
          <w:u w:val="single"/>
          <w:lang w:val="en-US" w:eastAsia="zh-CN"/>
        </w:rPr>
        <w:t>有时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(4)人</w:t>
      </w:r>
      <w:r>
        <w:rPr>
          <w:rFonts w:hint="eastAsia"/>
          <w:em w:val="dot"/>
          <w:lang w:val="en-US" w:eastAsia="zh-CN"/>
        </w:rPr>
        <w:t>问</w:t>
      </w:r>
      <w:r>
        <w:rPr>
          <w:rFonts w:hint="eastAsia"/>
          <w:lang w:val="en-US" w:eastAsia="zh-CN"/>
        </w:rPr>
        <w:t>其故        故：</w:t>
      </w:r>
      <w:r>
        <w:rPr>
          <w:rFonts w:hint="eastAsia"/>
          <w:u w:val="single"/>
          <w:lang w:val="en-US" w:eastAsia="zh-CN"/>
        </w:rPr>
        <w:t>原因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2．用现代汉语翻译下列语句。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(1)高可二黍许。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答案：大约有两个黄米粒那么高。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(2)此子宜置丘壑中。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答案：这位先生应当置身在深山幽谷中。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3．【甲】【乙】两文段所写的王叔远、顾长康都有精湛的技艺，但其技艺又各具特色。【甲】文段写王叔远在雕刻时，讲究</w:t>
      </w:r>
      <w:r>
        <w:rPr>
          <w:rFonts w:hint="eastAsia"/>
          <w:u w:val="single"/>
          <w:lang w:val="en-US" w:eastAsia="zh-CN"/>
        </w:rPr>
        <w:t>依据材料原来的样子进行雕刻，各有各的情态</w:t>
      </w:r>
      <w:r>
        <w:rPr>
          <w:rFonts w:hint="eastAsia"/>
          <w:lang w:val="en-US" w:eastAsia="zh-CN"/>
        </w:rPr>
        <w:t>；【乙】文段写顾长康在绘画时，讲究</w:t>
      </w:r>
      <w:r>
        <w:rPr>
          <w:rFonts w:hint="eastAsia"/>
          <w:u w:val="single"/>
          <w:lang w:val="en-US" w:eastAsia="zh-CN"/>
        </w:rPr>
        <w:t>根据人物的特点捕描摹力求传神</w:t>
      </w:r>
      <w:r>
        <w:rPr>
          <w:rFonts w:hint="eastAsia"/>
          <w:lang w:val="en-US" w:eastAsia="zh-CN"/>
        </w:rPr>
        <w:t>。（要求：用白己的话概括）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参考译文：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 【乙】</w:t>
      </w:r>
      <w:r>
        <w:rPr>
          <w:rFonts w:hint="eastAsia" w:ascii="仿宋" w:hAnsi="仿宋" w:eastAsia="仿宋" w:cs="仿宋"/>
          <w:lang w:val="en-US" w:eastAsia="zh-CN"/>
        </w:rPr>
        <w:t>太傅谢安说：“顾长康的画，是自有人类以来所没有的。”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给裴叔则画像，脸颊上多画了三根毫毛。有人问他是什么原因，顾长康说：”裴楷俊逸开朗，又有才略，这恰恰是表现他的才略。”看画的人寻味起画像来，确实觉得增加了三根毫毛更有精神，远远胜过还没有添上的时候。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顾长康画谢幼舆的像，把他安置在岩石中。有人问他什么原因，顾长康说：“谢幼舆说过：‘在隐居深山幽谷方面，自以为超过庾亮。’这位先生应当置身于深山幽谷中。”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顾长康画人，有的时候画完之后几年都不去画眼珠。有人问他原因，顾长康说：“人身体的美丑，本来没有什么特别微妙之处；真正的传神之笔，正在眼珠中。”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顾长康说：“画‘用手指拨弹五弦琴’很容易，画‘用目光追随北归的鸿雁’很难。”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六、课堂小结   </w:t>
      </w:r>
    </w:p>
    <w:p>
      <w:p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节课主要是对文本内容进行了探究，本文是一篇说明文，我们学习了说明文中的相关知识——说明对象、说明顺序和说明方法。通过对本文的学习，我们了解了雕刻家构思的巧妙与雕刻技艺的高超，感受到了我国古代劳动人民的智慧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七、布置作业</w:t>
      </w:r>
    </w:p>
    <w:p>
      <w:p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背诵课文。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八、板书设计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sz w:val="21"/>
        </w:rPr>
        <w:pict>
          <v:line id="_x0000_s1029" o:spid="_x0000_s1029" o:spt="20" style="position:absolute;left:0pt;flip:x;margin-left:149.85pt;margin-top:14.95pt;height:19.35pt;width:0.65pt;z-index:25166131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     舟首尾长约八分有奇     整体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sz w:val="21"/>
        </w:rPr>
        <w:pict>
          <v:line id="_x0000_s1033" o:spid="_x0000_s1033" o:spt="20" style="position:absolute;left:0pt;flip:x;margin-left:253.65pt;margin-top:1.85pt;height:108.65pt;width:1.9pt;z-index:2516654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26" o:spid="_x0000_s1026" o:spt="20" style="position:absolute;left:0pt;flip:x;margin-left:62.95pt;margin-top:14.95pt;height:19.35pt;width:0.65pt;z-index:25165824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中间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sz w:val="21"/>
        </w:rPr>
        <w:pict>
          <v:line id="_x0000_s1030" o:spid="_x0000_s1030" o:spt="20" style="position:absolute;left:0pt;flip:x;margin-left:149.2pt;margin-top:12.5pt;height:19.35pt;width:0.65pt;z-index:25166233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28" o:spid="_x0000_s1028" o:spt="20" style="position:absolute;left:0pt;flip:x;margin-left:94.85pt;margin-top:14.35pt;height:19.35pt;width:0.65pt;z-index:25166028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主     中轩敞者              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空间顺序  两头                                          逻辑顺序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sz w:val="21"/>
        </w:rPr>
        <w:pict>
          <v:line id="_x0000_s1031" o:spid="_x0000_s1031" o:spt="20" style="position:absolute;left:0pt;flip:x;margin-left:149.8pt;margin-top:13.2pt;height:19.35pt;width:0.65pt;z-index:2516633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027" o:spid="_x0000_s1027" o:spt="20" style="position:absolute;left:0pt;flip:x;margin-left:59.8pt;margin-top:0.05pt;height:19.35pt;width:0.65pt;z-index:25165926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次     船头坐三人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船背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sz w:val="21"/>
        </w:rPr>
        <w:pict>
          <v:line id="_x0000_s1032" o:spid="_x0000_s1032" o:spt="20" style="position:absolute;left:0pt;flip:x;margin-left:149.85pt;margin-top:14.45pt;height:19.35pt;width:0.65pt;z-index:25166438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lang w:val="en-US" w:eastAsia="zh-CN"/>
        </w:rPr>
        <w:t xml:space="preserve">                        舟尾横卧一楫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船背稍夷               局部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九、教学反思</w:t>
      </w:r>
    </w:p>
    <w:p>
      <w:pPr>
        <w:tabs>
          <w:tab w:val="left" w:pos="1985"/>
          <w:tab w:val="left" w:pos="3969"/>
          <w:tab w:val="left" w:pos="581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tabs>
          <w:tab w:val="left" w:pos="1985"/>
          <w:tab w:val="left" w:pos="3969"/>
          <w:tab w:val="left" w:pos="581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tabs>
          <w:tab w:val="left" w:pos="1985"/>
          <w:tab w:val="left" w:pos="3969"/>
          <w:tab w:val="left" w:pos="5812"/>
        </w:tabs>
        <w:rPr>
          <w:rFonts w:hint="eastAsia"/>
          <w:lang w:val="en-US" w:eastAsia="zh-C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u w:val="none"/>
          <w:lang w:val="en-US" w:eastAsia="zh-CN"/>
        </w:rPr>
      </w:pPr>
      <w:r>
        <w:rPr>
          <w:rFonts w:hint="eastAsia" w:ascii="Times New Roman" w:hAnsi="Times New Roman"/>
          <w:u w:val="none"/>
          <w:lang w:val="en-US" w:eastAsia="zh-CN"/>
        </w:rPr>
        <w:t xml:space="preserve">    </w:t>
      </w:r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-KT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6845B04"/>
    <w:rsid w:val="09AF461E"/>
    <w:rsid w:val="13625AAD"/>
    <w:rsid w:val="18EA7515"/>
    <w:rsid w:val="19D36D07"/>
    <w:rsid w:val="1A2D611C"/>
    <w:rsid w:val="1C207E4D"/>
    <w:rsid w:val="1ED732E4"/>
    <w:rsid w:val="214418C9"/>
    <w:rsid w:val="21E50CBD"/>
    <w:rsid w:val="279303A4"/>
    <w:rsid w:val="2815042B"/>
    <w:rsid w:val="29DB4F3A"/>
    <w:rsid w:val="2C9B09B4"/>
    <w:rsid w:val="304173D7"/>
    <w:rsid w:val="3A8778FE"/>
    <w:rsid w:val="40CD406A"/>
    <w:rsid w:val="457B6DEF"/>
    <w:rsid w:val="55160908"/>
    <w:rsid w:val="5AE46D7E"/>
    <w:rsid w:val="5C135076"/>
    <w:rsid w:val="62CF0A2B"/>
    <w:rsid w:val="680279BF"/>
    <w:rsid w:val="6C591E57"/>
    <w:rsid w:val="6F330991"/>
    <w:rsid w:val="7A777194"/>
    <w:rsid w:val="7D926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6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3"/>
    <customShpInfo spid="_x0000_s1026"/>
    <customShpInfo spid="_x0000_s1030"/>
    <customShpInfo spid="_x0000_s1028"/>
    <customShpInfo spid="_x0000_s1031"/>
    <customShpInfo spid="_x0000_s1027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ScaleCrop>false</ScaleCrop>
  <LinksUpToDate>false</LinksUpToDate>
  <CharactersWithSpaces>7716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Admin</cp:lastModifiedBy>
  <dcterms:modified xsi:type="dcterms:W3CDTF">2020-02-07T09:14:41Z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